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eesmärk on reguleerida tööandja ja töötaja vahelisi suhteid, määratledes poolte õigused ja kohustused.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 kohustub täitma järgmisi tööülesandeid:</w:t>
      </w:r>
    </w:p>
    <w:p>
      <w:pPr>
        <w:pStyle w:val="ListNumber"/>
      </w:pPr>
      <w:r>
        <w:rPr>
          <w:rFonts w:ascii="Rubik Regular" w:hAnsi="Rubik Regular"/>
          <w:sz w:val="24"/>
        </w:rPr>
        <w:t>Tööaeg ja puhkeaeg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tööaeg on  tundi nädalas. Töötajal on õigus puhkeajale vastavalt seadusele.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Töötasu suurus on  eurot kuus, mis makstakse välja iga kuu  kuupäeval.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hoidma konfidentsiaalsena kogu tööandja ärisaladuse ja muu tundliku teabe.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seaduses ettenähtud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poolte kokkuleppel või seaduses ettenähtud alustel.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