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Muutmine</w:t>
      </w:r>
    </w:p>
    <w:p>
      <w:pPr>
        <w:pStyle w:val="ListNumber"/>
      </w:pPr>
      <w:r>
        <w:rPr>
          <w:rFonts w:ascii="Rubik Regular" w:hAnsi="Rubik Regular"/>
          <w:sz w:val="24"/>
        </w:rPr>
        <w:t>Üldsätted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(edaspidi "Leping") on sõlmitud  (kuupäev) tööandja  (nimi) ja töötaja  (nimi) vahel, edaspidi koos nimetatud "Pooled".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eesmärk on muuta olemasolevat töölepingut, mis on sõlmitud  (kuupäev), vastavalt alljärgnevatele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Poolte 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Tööandja kohustub tagama töötajale töötingimused vastavalt muudetud lepingule.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Töötaja kohustub täitma oma tööülesandeid vastavalt muudetud lepingule.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Töötasu suurus on  eurot kuus, mis makstakse välja iga kuu  (kuupäev).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kohustuvad hoidma konfidentsiaalsena kogu teabe, mis on seotud käesoleva lepinguga.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täitmise eest vastavalt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vastavalt seaduses sätestatud alustele või poolte kokkuleppel.</w:t>
      </w:r>
    </w:p>
    <w:p>
      <w:pPr>
        <w:pStyle w:val="ListNumber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