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Materiaalse Vastutuse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"Töötaja") võtab endale materiaalse vastutuse  (edaspidi "Tööandja") vara säilimise ja kasutamise eest.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Tööandja: , registrikood: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Töötaja Kohustused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 kohustub:</w:t>
      </w:r>
    </w:p>
    <w:p>
      <w:pPr>
        <w:pStyle w:val="ListBullet"/>
      </w:pPr>
      <w:r>
        <w:rPr>
          <w:rFonts w:ascii="Rubik Regular" w:hAnsi="Rubik Regular"/>
          <w:sz w:val="24"/>
        </w:rPr>
        <w:t>Kasutama Tööandja vara heaperemehelikult ja ainult tööülesannete täitmiseks.</w:t>
      </w:r>
    </w:p>
    <w:p>
      <w:pPr>
        <w:pStyle w:val="ListBullet"/>
      </w:pPr>
      <w:r>
        <w:rPr>
          <w:rFonts w:ascii="Rubik Regular" w:hAnsi="Rubik Regular"/>
          <w:sz w:val="24"/>
        </w:rPr>
        <w:t>Tagama vara säilimise ja hoidma seda kahjustuste eest.</w:t>
      </w:r>
    </w:p>
    <w:p>
      <w:pPr>
        <w:pStyle w:val="ListNumber"/>
      </w:pPr>
      <w:r>
        <w:rPr>
          <w:rFonts w:ascii="Rubik Regular" w:hAnsi="Rubik Regular"/>
          <w:sz w:val="24"/>
        </w:rPr>
        <w:t>Tööandja Kohustused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kohustub:</w:t>
      </w:r>
    </w:p>
    <w:p>
      <w:pPr>
        <w:pStyle w:val="ListBullet"/>
      </w:pPr>
      <w:r>
        <w:rPr>
          <w:rFonts w:ascii="Rubik Regular" w:hAnsi="Rubik Regular"/>
          <w:sz w:val="24"/>
        </w:rPr>
        <w:t>Tagama Töötajale vajalikud vahendid vara säilitamiseks ja kaitsmiseks.</w:t>
      </w:r>
    </w:p>
    <w:p>
      <w:pPr>
        <w:pStyle w:val="ListBullet"/>
      </w:pPr>
      <w:r>
        <w:rPr>
          <w:rFonts w:ascii="Rubik Regular" w:hAnsi="Rubik Regular"/>
          <w:sz w:val="24"/>
        </w:rPr>
        <w:t>Informeerima Töötajat vara kasutamise ja säilitamise eeskirjadest.</w:t>
      </w:r>
    </w:p>
    <w:p>
      <w:pPr>
        <w:pStyle w:val="ListNumber"/>
      </w:pPr>
      <w:r>
        <w:rPr>
          <w:rFonts w:ascii="Rubik Regular" w:hAnsi="Rubik Regular"/>
          <w:sz w:val="24"/>
        </w:rPr>
        <w:t>Tasustamine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Töötajale makstakse tasu summas  eurot kuus, mis sisaldab kompensatsiooni materiaalse vastutuse eest.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teabe, mis on seotud Tööandja vara ja tegevusega.</w:t>
      </w:r>
    </w:p>
    <w:p>
      <w:pPr>
        <w:pStyle w:val="ListNumber"/>
      </w:pPr>
      <w:r>
        <w:rPr>
          <w:rFonts w:ascii="Rubik Regular" w:hAnsi="Rubik Regular"/>
          <w:sz w:val="24"/>
        </w:rPr>
        <w:t>Vastutus ja Kahju Hüvitamine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vastutab Tööandja varale tekitatud kahju eest, välja arvatud juhul, kui kahju tekkis Tööandja süül või vääramatu jõu tõttu.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 leping lõpeb:</w:t>
      </w:r>
    </w:p>
    <w:p>
      <w:pPr>
        <w:pStyle w:val="ListBullet"/>
      </w:pPr>
      <w:r>
        <w:rPr>
          <w:rFonts w:ascii="Rubik Regular" w:hAnsi="Rubik Regular"/>
          <w:sz w:val="24"/>
        </w:rPr>
        <w:t>Poolte kokkuleppel.</w:t>
      </w:r>
    </w:p>
    <w:p>
      <w:pPr>
        <w:pStyle w:val="ListBullet"/>
      </w:pPr>
      <w:r>
        <w:rPr>
          <w:rFonts w:ascii="Rubik Regular" w:hAnsi="Rubik Regular"/>
          <w:sz w:val="24"/>
        </w:rPr>
        <w:t>Töösuhte lõppemisel.</w:t>
      </w:r>
    </w:p>
    <w:p>
      <w:pPr>
        <w:pStyle w:val="ListBullet"/>
      </w:pPr>
      <w:r>
        <w:rPr>
          <w:rFonts w:ascii="Rubik Regular" w:hAnsi="Rubik Regular"/>
          <w:sz w:val="24"/>
        </w:rPr>
        <w:t>Muudel seaduses ettenähtud alustel.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