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Koostöölepingu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koostöö tingimused ja kohustused, mis on seotud  projekti elluviimisega.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Lepingu osapooled on: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2.1. Tellija: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2.2. Täitja: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3.1. Tellija kohustub:</w:t>
      </w:r>
    </w:p>
    <w:p>
      <w:pPr>
        <w:pStyle w:val="ListBullet"/>
      </w:pPr>
      <w:r>
        <w:rPr>
          <w:rFonts w:ascii="Rubik Regular" w:hAnsi="Rubik Regular"/>
          <w:sz w:val="24"/>
        </w:rPr>
        <w:t>Tagama vajalikud ressursid ja teabe projekti elluviimiseks.</w:t>
      </w:r>
    </w:p>
    <w:p>
      <w:pPr>
        <w:pStyle w:val="ListBullet"/>
      </w:pPr>
      <w:r>
        <w:rPr>
          <w:rFonts w:ascii="Rubik Regular" w:hAnsi="Rubik Regular"/>
          <w:sz w:val="24"/>
        </w:rPr>
        <w:t>Tasuma kokkulepitud tasu vastavalt maksetingimustele.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3.2. Täitja kohustub:</w:t>
      </w:r>
    </w:p>
    <w:p>
      <w:pPr>
        <w:pStyle w:val="ListBullet"/>
      </w:pPr>
      <w:r>
        <w:rPr>
          <w:rFonts w:ascii="Rubik Regular" w:hAnsi="Rubik Regular"/>
          <w:sz w:val="24"/>
        </w:rPr>
        <w:t>Teostama tööd vastavalt kokkulepitud ajakavale ja kvaliteedile.</w:t>
      </w:r>
    </w:p>
    <w:p>
      <w:pPr>
        <w:pStyle w:val="ListBullet"/>
      </w:pPr>
      <w:r>
        <w:rPr>
          <w:rFonts w:ascii="Rubik Regular" w:hAnsi="Rubik Regular"/>
          <w:sz w:val="24"/>
        </w:rPr>
        <w:t>Teavitama tellijat viivitamatult võimalikest probleemidest.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Tasu suurus on  eurot, mis makstakse järgmiselt: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osapooled kohustuvad hoidma konfidentsiaalsena kogu teabe, mis on saadud koostöö käigus.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täitmise eest ning hüvitab teisele osapoolele tekitatud kahju.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 või kui üks osapool teatab lõpetamisest kirjalikult vähemalt 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Tallinnas,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Täitja: 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