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Kinkeleping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kinkelepingu (edaspidi "Leping") eesmärk on sätestada tingimused, mille alusel  (edaspidi "Kinkija") annab  (edaspidi "Kingisaaja") omandisse kingituse.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Kinkija: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Kingisaaja:</w:t>
      </w:r>
    </w:p>
    <w:p>
      <w:pPr>
        <w:pStyle w:val="ListNumber"/>
      </w:pPr>
      <w:r>
        <w:rPr>
          <w:rFonts w:ascii="Rubik Regular" w:hAnsi="Rubik Regular"/>
          <w:sz w:val="24"/>
        </w:rPr>
        <w:t>Kingituse kirjeldus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Kinkija annab Kingisaajale kingituseks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Kinkija kohustub üle andma kingituse . Kingisaaja kohustub kingituse vastu võtma ja kinnitab, et kingitus on tema jaoks vastuvõetav.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kinkeleping ei sisalda rahalisi kohustusi ega maksetingimusi.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kohustuvad hoidma konfidentsiaalsena kogu teabe, mis on seotud käesoleva Lepinguga, välja arvatud seaduses sätestatud juhtudel.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täitmise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kingitus on üle antud ja vastu võetud,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Kinkija: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Kingisaaja: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