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Hankeleping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hankelepingu ("Leping") eesmärk on sätestada tingimused ja kord, mille alusel  (edaspidi "Tellija") ja  (edaspidi "Täitja") lepivad kokku teenuste osutamises.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Täitja:</w:t>
      </w:r>
    </w:p>
    <w:p>
      <w:pPr>
        <w:pStyle w:val="ListNumber"/>
      </w:pPr>
      <w:r>
        <w:rPr>
          <w:rFonts w:ascii="Rubik Regular" w:hAnsi="Rubik Regular"/>
          <w:sz w:val="24"/>
        </w:rPr>
        <w:t>Kohustused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3.1 Tellija kohustub:</w:t>
      </w:r>
    </w:p>
    <w:p>
      <w:pPr>
        <w:pStyle w:val="ListBullet"/>
      </w:pPr>
      <w:r>
        <w:rPr>
          <w:rFonts w:ascii="Rubik Regular" w:hAnsi="Rubik Regular"/>
          <w:sz w:val="24"/>
        </w:rPr>
        <w:t>Maksma Täitjale tasu vastavalt Lepingu tingimustele.</w:t>
      </w:r>
    </w:p>
    <w:p>
      <w:pPr>
        <w:pStyle w:val="ListBullet"/>
      </w:pPr>
      <w:r>
        <w:rPr>
          <w:rFonts w:ascii="Rubik Regular" w:hAnsi="Rubik Regular"/>
          <w:sz w:val="24"/>
        </w:rPr>
        <w:t>Esitama vajalikud dokumendid ja teabe, mis on vajalikud teenuste osutamiseks.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3.2 Täitja kohustub:</w:t>
      </w:r>
    </w:p>
    <w:p>
      <w:pPr>
        <w:pStyle w:val="ListBullet"/>
      </w:pPr>
      <w:r>
        <w:rPr>
          <w:rFonts w:ascii="Rubik Regular" w:hAnsi="Rubik Regular"/>
          <w:sz w:val="24"/>
        </w:rPr>
        <w:t>Osutama teenuseid vastavalt Lepingu tingimustele ja ajakavale.</w:t>
      </w:r>
    </w:p>
    <w:p>
      <w:pPr>
        <w:pStyle w:val="ListBullet"/>
      </w:pPr>
      <w:r>
        <w:rPr>
          <w:rFonts w:ascii="Rubik Regular" w:hAnsi="Rubik Regular"/>
          <w:sz w:val="24"/>
        </w:rPr>
        <w:t>Tagama, et kõik teenused vastavad kehtivatele õigusaktidele ja standarditele.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Tasu suurus on  eurot, mis makstakse Täitjale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 raames saadud teave on konfidentsiaalne ning pooled kohustuvad seda mitte avaldama kolmandatele isikutele ilma teise 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kehtivatele õigusaktidele.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pooled on täitnud kõik oma kohustused või kui Leping lõpetatakse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Täitja: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