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Leping</w:t>
      </w:r>
    </w:p>
    <w:p>
      <w:pPr>
        <w:pStyle w:val="ListNumber"/>
      </w:pPr>
      <w:r>
        <w:rPr>
          <w:rFonts w:ascii="Rubik Regular" w:hAnsi="Rubik Regular"/>
          <w:sz w:val="24"/>
        </w:rPr>
        <w:t>Üldsätted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 leping (edaspidi "Leping") on sõlmitud , (edaspidi "Kuupäev") järgmiste osapoolte vahel: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1.1. Lepingupooled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Registreerimisnumber: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Esindaja: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Täitja: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Registreerimisnumber: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Esindaja: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kohustused, mille alusel Täitja osutab Tellijale teenuseid.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3.1. Tellija kohustub:</w:t>
      </w:r>
    </w:p>
    <w:p>
      <w:pPr>
        <w:pStyle w:val="ListBullet"/>
      </w:pPr>
      <w:r>
        <w:rPr>
          <w:rFonts w:ascii="Rubik Regular" w:hAnsi="Rubik Regular"/>
          <w:sz w:val="24"/>
        </w:rPr>
        <w:t>Maksma Täitjale tasu vastavalt käesoleva Lepingu tingimustele.</w:t>
      </w:r>
    </w:p>
    <w:p>
      <w:pPr>
        <w:pStyle w:val="ListBullet"/>
      </w:pPr>
      <w:r>
        <w:rPr>
          <w:rFonts w:ascii="Rubik Regular" w:hAnsi="Rubik Regular"/>
          <w:sz w:val="24"/>
        </w:rPr>
        <w:t>Tagama Täitjale juurdepääsu vajalikele ressurssidele.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3.2. Täitja kohustub:</w:t>
      </w:r>
    </w:p>
    <w:p>
      <w:pPr>
        <w:pStyle w:val="ListBullet"/>
      </w:pPr>
      <w:r>
        <w:rPr>
          <w:rFonts w:ascii="Rubik Regular" w:hAnsi="Rubik Regular"/>
          <w:sz w:val="24"/>
        </w:rPr>
        <w:t>Osutama teenuseid vastavalt Lepingu tingimustele ja ajakavale.</w:t>
      </w:r>
    </w:p>
    <w:p>
      <w:pPr>
        <w:pStyle w:val="ListBullet"/>
      </w:pPr>
      <w:r>
        <w:rPr>
          <w:rFonts w:ascii="Rubik Regular" w:hAnsi="Rubik Regular"/>
          <w:sz w:val="24"/>
        </w:rPr>
        <w:t>Teavitama Tellijat viivitamatult kõikidest asjaoludest, mis võivad mõjutada teenuste osutamist.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teenuste eest on  eurot, mis makstakse Täitjale hiljemalt  pärast teenuste osutamist.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 Lepinguga seotud teave on konfidentsiaalne ning pooled kohustuvad seda mitte avaldama kolmandatele isikutele ilma teise 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mõlemad pooled on täitnud kõik oma kohustused või kui Leping lõpetatakse ennetähtaegselt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Tellijapoolne esindaja: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Täitjapoolne esindaja: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