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Projekteerimise Lepingu Näidis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sätestada tingimused, mille alusel  (edaspidi "Tellija") tellib projekteerimisteenuseid  (edaspidi "Teenuseosutaja").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Tellijaks on , isikukood , aadress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Teenuseosutajaks on , isikukood , aadress .</w:t>
      </w:r>
    </w:p>
    <w:p>
      <w:pPr>
        <w:pStyle w:val="ListNumber"/>
      </w:pPr>
      <w:r>
        <w:rPr>
          <w:rFonts w:ascii="Rubik Regular" w:hAnsi="Rubik Regular"/>
          <w:sz w:val="24"/>
        </w:rPr>
        <w:t>Teenuse Kirjeldus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Teenuseosutaja kohustub osutama järgmisi projekteerimisteenuseid: .</w:t>
      </w:r>
    </w:p>
    <w:p>
      <w:pPr>
        <w:pStyle w:val="ListNumber"/>
      </w:pPr>
      <w:r>
        <w:rPr>
          <w:rFonts w:ascii="Rubik Regular" w:hAnsi="Rubik Regular"/>
          <w:sz w:val="24"/>
        </w:rPr>
        <w:t>Poolte Kohustused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Tellijal on kohustus esitada Teenuseosutajale kõik vajalikud andmed ja dokumendid, mis on vajalikud teenuse osutamiseks.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Teenuseosutaja kohustub osutama teenuseid vastavalt käesoleva lepingu tingimustele ja kehtivatele õigusaktidele.</w:t>
      </w:r>
    </w:p>
    <w:p>
      <w:pPr>
        <w:pStyle w:val="ListNumber"/>
      </w:pPr>
      <w:r>
        <w:rPr>
          <w:rFonts w:ascii="Rubik Regular" w:hAnsi="Rubik Regular"/>
          <w:sz w:val="24"/>
        </w:rPr>
        <w:t>Tasud ja 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Tellijal on kohustus tasuda Teenuseosutajale teenuste eest  eurot. Maksetähtaeg on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Mõlemad pooled kohustuvad hoidma konfidentsiaalsena kogu teabe, mida nad saavad käesoleva lepingu täitmise käigus.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pool vastutab oma kohustuste rikkumise eest vastavalt Eesti Vabariigi seadustele.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käesolevast lepingust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leping lõpeb, kui mõlemad pooled on täitnud kõik oma kohustused või kui leping lõpetatakse poolte kokkuleppel.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Tellijal: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Teenuseosutajal: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