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360" w:lineRule="auto"/>
      </w:pPr>
      <w:r>
        <w:rPr>
          <w:rFonts w:ascii="Rubik Regular" w:hAnsi="Rubik Regular"/>
          <w:sz w:val="24"/>
        </w:rPr>
        <w:t>Pärimislepingu Näidis</w:t>
      </w:r>
    </w:p>
    <w:p>
      <w:pPr>
        <w:pStyle w:val="ListNumber"/>
      </w:pPr>
      <w:r>
        <w:rPr>
          <w:rFonts w:ascii="Rubik Regular" w:hAnsi="Rubik Regular"/>
          <w:sz w:val="24"/>
        </w:rPr>
        <w:t>Lepingu Eesmärk</w:t>
      </w:r>
    </w:p>
    <w:p>
      <w:pPr>
        <w:spacing w:line="360" w:lineRule="auto"/>
      </w:pPr>
      <w:r>
        <w:rPr>
          <w:rFonts w:ascii="Rubik Regular" w:hAnsi="Rubik Regular"/>
          <w:sz w:val="24"/>
        </w:rPr>
        <w:t>Käesoleva lepingu eesmärk on sätestada pärandvara jagamise tingimused ja kord, mis on seotud  (edaspidi "Pärandaja") surma korral.</w:t>
      </w:r>
    </w:p>
    <w:p>
      <w:pPr>
        <w:pStyle w:val="ListNumber"/>
      </w:pPr>
      <w:r>
        <w:rPr>
          <w:rFonts w:ascii="Rubik Regular" w:hAnsi="Rubik Regular"/>
          <w:sz w:val="24"/>
        </w:rPr>
        <w:t>Lepingu Osapooled</w:t>
      </w:r>
    </w:p>
    <w:p>
      <w:pPr>
        <w:spacing w:line="360" w:lineRule="auto"/>
      </w:pPr>
      <w:r>
        <w:rPr>
          <w:rFonts w:ascii="Rubik Regular" w:hAnsi="Rubik Regular"/>
          <w:sz w:val="24"/>
        </w:rPr>
        <w:t>Lepingu osapooled on  (edaspidi "Pärandaja") ja  (edaspidi "Pärija").</w:t>
      </w:r>
    </w:p>
    <w:p>
      <w:pPr>
        <w:pStyle w:val="ListNumber"/>
      </w:pPr>
      <w:r>
        <w:rPr>
          <w:rFonts w:ascii="Rubik Regular" w:hAnsi="Rubik Regular"/>
          <w:sz w:val="24"/>
        </w:rPr>
        <w:t>Pärandvara Jagamine</w:t>
      </w:r>
    </w:p>
    <w:p>
      <w:pPr>
        <w:spacing w:line="360" w:lineRule="auto"/>
      </w:pPr>
      <w:r>
        <w:rPr>
          <w:rFonts w:ascii="Rubik Regular" w:hAnsi="Rubik Regular"/>
          <w:sz w:val="24"/>
        </w:rPr>
        <w:t>Pärandaja määrab, et kogu tema pärandvara jagatakse järgmiselt: .</w:t>
      </w:r>
    </w:p>
    <w:p>
      <w:pPr>
        <w:pStyle w:val="ListNumber"/>
      </w:pPr>
      <w:r>
        <w:rPr>
          <w:rFonts w:ascii="Rubik Regular" w:hAnsi="Rubik Regular"/>
          <w:sz w:val="24"/>
        </w:rPr>
        <w:t>Kohustused ja Õigused</w:t>
      </w:r>
    </w:p>
    <w:p>
      <w:pPr>
        <w:spacing w:line="360" w:lineRule="auto"/>
      </w:pPr>
      <w:r>
        <w:rPr>
          <w:rFonts w:ascii="Rubik Regular" w:hAnsi="Rubik Regular"/>
          <w:sz w:val="24"/>
        </w:rPr>
        <w:t>Pooled kohustuvad täitma kõiki käesolevas lepingus sätestatud tingimusi. Pärija kohustub võtma vastu pärandvara ja vastutama selle säilimise eest.</w:t>
      </w:r>
    </w:p>
    <w:p>
      <w:pPr>
        <w:pStyle w:val="ListNumber"/>
      </w:pPr>
      <w:r>
        <w:rPr>
          <w:rFonts w:ascii="Rubik Regular" w:hAnsi="Rubik Regular"/>
          <w:sz w:val="24"/>
        </w:rPr>
        <w:t>Maksetingimused</w:t>
      </w:r>
    </w:p>
    <w:p>
      <w:pPr>
        <w:spacing w:line="360" w:lineRule="auto"/>
      </w:pPr>
      <w:r>
        <w:rPr>
          <w:rFonts w:ascii="Rubik Regular" w:hAnsi="Rubik Regular"/>
          <w:sz w:val="24"/>
        </w:rPr>
        <w:t>Pärija tasub pärandvaraga seotud kulud summas  eurot hiljemalt .</w:t>
      </w:r>
    </w:p>
    <w:p>
      <w:pPr>
        <w:pStyle w:val="ListNumber"/>
      </w:pPr>
      <w:r>
        <w:rPr>
          <w:rFonts w:ascii="Rubik Regular" w:hAnsi="Rubik Regular"/>
          <w:sz w:val="24"/>
        </w:rPr>
        <w:t>Konfidentsiaalsus</w:t>
      </w:r>
    </w:p>
    <w:p>
      <w:pPr>
        <w:spacing w:line="360" w:lineRule="auto"/>
      </w:pPr>
      <w:r>
        <w:rPr>
          <w:rFonts w:ascii="Rubik Regular" w:hAnsi="Rubik Regular"/>
          <w:sz w:val="24"/>
        </w:rPr>
        <w:t>Pooled kohustuvad hoidma konfidentsiaalsena kogu teabe, mis on seotud käesoleva lepinguga.</w:t>
      </w:r>
    </w:p>
    <w:p>
      <w:pPr>
        <w:pStyle w:val="ListNumber"/>
      </w:pPr>
      <w:r>
        <w:rPr>
          <w:rFonts w:ascii="Rubik Regular" w:hAnsi="Rubik Regular"/>
          <w:sz w:val="24"/>
        </w:rPr>
        <w:t>Vastutus</w:t>
      </w:r>
    </w:p>
    <w:p>
      <w:pPr>
        <w:spacing w:line="360" w:lineRule="auto"/>
      </w:pPr>
      <w:r>
        <w:rPr>
          <w:rFonts w:ascii="Rubik Regular" w:hAnsi="Rubik Regular"/>
          <w:sz w:val="24"/>
        </w:rPr>
        <w:t>Iga pool vastutab oma kohustuste täitmise eest vastavalt käesolevale lepingule ja Eesti Vabariigi seadustele.</w:t>
      </w:r>
    </w:p>
    <w:p>
      <w:pPr>
        <w:pStyle w:val="ListNumber"/>
      </w:pPr>
      <w:r>
        <w:rPr>
          <w:rFonts w:ascii="Rubik Regular" w:hAnsi="Rubik Regular"/>
          <w:sz w:val="24"/>
        </w:rPr>
        <w:t>Vaidluste Lahendamine</w:t>
      </w:r>
    </w:p>
    <w:p>
      <w:pPr>
        <w:spacing w:line="360" w:lineRule="auto"/>
      </w:pPr>
      <w:r>
        <w:rPr>
          <w:rFonts w:ascii="Rubik Regular" w:hAnsi="Rubik Regular"/>
          <w:sz w:val="24"/>
        </w:rPr>
        <w:t>Kõik käesolevast lepingust tulenevad vaidlused lahendatakse Eesti Vabariigi kohtutes.</w:t>
      </w:r>
    </w:p>
    <w:p>
      <w:pPr>
        <w:pStyle w:val="ListNumber"/>
      </w:pPr>
      <w:r>
        <w:rPr>
          <w:rFonts w:ascii="Rubik Regular" w:hAnsi="Rubik Regular"/>
          <w:sz w:val="24"/>
        </w:rPr>
        <w:t>Lepingu Lõpetamine</w:t>
      </w:r>
    </w:p>
    <w:p>
      <w:pPr>
        <w:spacing w:line="360" w:lineRule="auto"/>
      </w:pPr>
      <w:r>
        <w:rPr>
          <w:rFonts w:ascii="Rubik Regular" w:hAnsi="Rubik Regular"/>
          <w:sz w:val="24"/>
        </w:rPr>
        <w:t>Käesolev leping lõpeb automaatselt, kui kõik lepingulised kohustused on täidetud või poolte kokkuleppel.</w:t>
      </w:r>
    </w:p>
    <w:p>
      <w:pPr>
        <w:spacing w:line="360" w:lineRule="auto"/>
      </w:pPr>
      <w:r>
        <w:rPr>
          <w:rFonts w:ascii="Rubik Regular" w:hAnsi="Rubik Regular"/>
          <w:sz w:val="24"/>
        </w:rPr>
        <w:t>10. Allkirjad</w:t>
      </w:r>
    </w:p>
    <w:p>
      <w:pPr>
        <w:jc w:val="left"/>
      </w:pPr>
      <w:r>
        <w:rPr>
          <w:rFonts w:ascii="Rubik Bold" w:hAnsi="Rubik Bold"/>
          <w:b/>
          <w:color w:val="2F5496"/>
          <w:sz w:val="28"/>
        </w:rPr>
        <w:t>Pärandaja:</w:t>
      </w:r>
    </w:p>
    <w:p>
      <w:pPr>
        <w:jc w:val="left"/>
      </w:pPr>
      <w:r>
        <w:rPr>
          <w:rFonts w:ascii="Rubik Bold" w:hAnsi="Rubik Bold"/>
          <w:b/>
          <w:color w:val="2F5496"/>
          <w:sz w:val="28"/>
        </w:rPr>
        <w:t>Pärija:</w:t>
      </w:r>
    </w:p>
    <w:p>
      <w:pPr>
        <w:jc w:val="left"/>
      </w:pPr>
      <w:r>
        <w:rPr>
          <w:rFonts w:ascii="Rubik Bold" w:hAnsi="Rubik Bold"/>
          <w:b/>
          <w:color w:val="2F5496"/>
          <w:sz w:val="28"/>
        </w:rPr>
        <w:t>Kuupäev:</w:t>
      </w:r>
    </w:p>
    <w:sectPr w:rsidR="00FC693F" w:rsidRPr="0006063C" w:rsidSect="0003461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