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Kollektiivlepingu Näidis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tööandja ja töötajate esindajate vahelised suhted ning tingimused, mille alusel toimub koostöö ja õiguste kaitse.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Käesoleva 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, registrikood: , aadress: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Töötajate esindaja: , isikukood: , aadress: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Tööandja kohustub tagama töötajatele töötingimused vastavalt kehtivatele seadustele ja määrustele.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Töötajate esindaja kohustub esindama töötajate huve ja õigusi vastavalt seadusele.</w:t>
      </w:r>
    </w:p>
    <w:p>
      <w:pPr>
        <w:pStyle w:val="ListNumber"/>
      </w:pPr>
      <w:r>
        <w:rPr>
          <w:rFonts w:ascii="Rubik Regular" w:hAnsi="Rubik Regular"/>
          <w:sz w:val="24"/>
        </w:rPr>
        <w:t>Tasustamine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Tööandja maksab töötajatele tasu vastavalt töölepingus sätestatud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Tasud makstakse välja igakuiselt hiljemalt  kuupäevaks.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 alusel saadud teave on konfidentsiaalne ja seda ei tohi avaldada kolmandatele isikutele ilma teise osapoole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osapool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 poolte kokkuleppel või seaduses sätestatud alustel.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Tööandja: 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Töötajate esindaja: 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