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Autorileping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autori ja tellija vahelisi suhteid seoses teose loomise ja kasutamisega.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Autor: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pStyle w:val="ListNumber"/>
      </w:pPr>
      <w:r>
        <w:rPr>
          <w:rFonts w:ascii="Rubik Regular" w:hAnsi="Rubik Regular"/>
          <w:sz w:val="24"/>
        </w:rPr>
        <w:t>Autori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Autor kohustub looma teose vastavalt tellija juhistele ja tähtaegadele.</w:t>
      </w:r>
    </w:p>
    <w:p>
      <w:pPr>
        <w:pStyle w:val="ListNumber"/>
      </w:pPr>
      <w:r>
        <w:rPr>
          <w:rFonts w:ascii="Rubik Regular" w:hAnsi="Rubik Regular"/>
          <w:sz w:val="24"/>
        </w:rPr>
        <w:t>Tellija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 kohustub tasuma autorile kokkulepitud tasu ja andma vajalikku teavet teose loomiseks.</w:t>
      </w:r>
    </w:p>
    <w:p>
      <w:pPr>
        <w:pStyle w:val="ListNumber"/>
      </w:pPr>
      <w:r>
        <w:rPr>
          <w:rFonts w:ascii="Rubik Regular" w:hAnsi="Rubik Regular"/>
          <w:sz w:val="24"/>
        </w:rPr>
        <w:t>Tasumine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suurus on  eurot, mis makstakse autorile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mõlemad pooled on oma kohustused täitnud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Autor: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